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86E6D" w14:textId="77777777" w:rsidR="00141B65" w:rsidRPr="00141B65" w:rsidRDefault="00141B65" w:rsidP="00141B65">
      <w:pPr>
        <w:spacing w:after="0" w:line="240" w:lineRule="auto"/>
        <w:jc w:val="right"/>
        <w:rPr>
          <w:rFonts w:ascii="Times New Roman" w:eastAsia="Calibri" w:hAnsi="Times New Roman" w:cs="Times New Roman"/>
          <w:b/>
          <w:sz w:val="24"/>
          <w:szCs w:val="24"/>
        </w:rPr>
      </w:pPr>
    </w:p>
    <w:p w14:paraId="3603197C" w14:textId="77777777" w:rsidR="00E15EE3" w:rsidRPr="00E15EE3" w:rsidRDefault="00E15EE3" w:rsidP="00E15EE3">
      <w:pPr>
        <w:spacing w:after="0" w:line="240" w:lineRule="auto"/>
        <w:jc w:val="center"/>
        <w:rPr>
          <w:rFonts w:ascii="Times New Roman" w:eastAsia="Calibri" w:hAnsi="Times New Roman" w:cs="Times New Roman"/>
          <w:b/>
          <w:sz w:val="20"/>
          <w:szCs w:val="20"/>
        </w:rPr>
      </w:pPr>
      <w:r w:rsidRPr="00E15EE3">
        <w:rPr>
          <w:rFonts w:ascii="Times New Roman" w:eastAsia="Calibri" w:hAnsi="Times New Roman" w:cs="Times New Roman"/>
          <w:b/>
          <w:sz w:val="20"/>
          <w:szCs w:val="20"/>
        </w:rPr>
        <w:t>ЛИСТ ОЗНАКОМЛЕНИЯ С ИНФОРМАЦИЕЙ ОБ АНО НИИ УПРАВЛЕНИЯ</w:t>
      </w:r>
    </w:p>
    <w:p w14:paraId="2FF58131" w14:textId="77777777" w:rsidR="00E15EE3" w:rsidRPr="00E15EE3" w:rsidRDefault="00E15EE3" w:rsidP="00E15EE3">
      <w:pPr>
        <w:spacing w:after="0" w:line="240" w:lineRule="auto"/>
        <w:jc w:val="center"/>
        <w:rPr>
          <w:rFonts w:ascii="Times New Roman" w:eastAsia="Calibri" w:hAnsi="Times New Roman" w:cs="Times New Roman"/>
          <w:b/>
          <w:sz w:val="20"/>
          <w:szCs w:val="20"/>
        </w:rPr>
      </w:pPr>
    </w:p>
    <w:tbl>
      <w:tblPr>
        <w:tblW w:w="4897" w:type="pct"/>
        <w:tblInd w:w="108" w:type="dxa"/>
        <w:tblLook w:val="04A0" w:firstRow="1" w:lastRow="0" w:firstColumn="1" w:lastColumn="0" w:noHBand="0" w:noVBand="1"/>
      </w:tblPr>
      <w:tblGrid>
        <w:gridCol w:w="708"/>
        <w:gridCol w:w="9214"/>
        <w:gridCol w:w="284"/>
      </w:tblGrid>
      <w:tr w:rsidR="00E15EE3" w:rsidRPr="00E15EE3" w14:paraId="5719E69C" w14:textId="77777777" w:rsidTr="00E15EE3">
        <w:trPr>
          <w:trHeight w:val="227"/>
        </w:trPr>
        <w:tc>
          <w:tcPr>
            <w:tcW w:w="347" w:type="pct"/>
            <w:hideMark/>
          </w:tcPr>
          <w:p w14:paraId="7869F1CA" w14:textId="77777777" w:rsidR="00E15EE3" w:rsidRPr="00E15EE3" w:rsidRDefault="00E15EE3" w:rsidP="00E15EE3">
            <w:pPr>
              <w:spacing w:after="0" w:line="240" w:lineRule="auto"/>
              <w:ind w:left="-105"/>
              <w:rPr>
                <w:rFonts w:ascii="Times New Roman" w:eastAsia="Times New Roman" w:hAnsi="Times New Roman" w:cs="Times New Roman"/>
                <w:b/>
                <w:bCs/>
                <w:sz w:val="20"/>
                <w:szCs w:val="20"/>
              </w:rPr>
            </w:pPr>
            <w:r w:rsidRPr="00E15EE3">
              <w:rPr>
                <w:rFonts w:ascii="Times New Roman" w:eastAsia="Times New Roman" w:hAnsi="Times New Roman" w:cs="Times New Roman"/>
                <w:b/>
                <w:bCs/>
                <w:sz w:val="20"/>
                <w:szCs w:val="20"/>
              </w:rPr>
              <w:t>Мной,</w:t>
            </w:r>
          </w:p>
        </w:tc>
        <w:tc>
          <w:tcPr>
            <w:tcW w:w="4514" w:type="pct"/>
            <w:tcBorders>
              <w:top w:val="nil"/>
              <w:left w:val="nil"/>
              <w:bottom w:val="single" w:sz="4" w:space="0" w:color="auto"/>
              <w:right w:val="nil"/>
            </w:tcBorders>
          </w:tcPr>
          <w:p w14:paraId="136DCD0B" w14:textId="77777777" w:rsidR="00E15EE3" w:rsidRPr="00E15EE3" w:rsidRDefault="00E15EE3" w:rsidP="00E15EE3">
            <w:pPr>
              <w:tabs>
                <w:tab w:val="left" w:pos="284"/>
                <w:tab w:val="left" w:pos="567"/>
                <w:tab w:val="right" w:pos="10093"/>
              </w:tabs>
              <w:spacing w:after="0" w:line="240" w:lineRule="auto"/>
              <w:rPr>
                <w:rFonts w:ascii="Times New Roman" w:eastAsia="Times New Roman" w:hAnsi="Times New Roman" w:cs="Times New Roman"/>
                <w:b/>
                <w:bCs/>
                <w:sz w:val="20"/>
                <w:szCs w:val="20"/>
              </w:rPr>
            </w:pPr>
          </w:p>
        </w:tc>
        <w:tc>
          <w:tcPr>
            <w:tcW w:w="139" w:type="pct"/>
            <w:hideMark/>
          </w:tcPr>
          <w:p w14:paraId="765FDFCE" w14:textId="77777777" w:rsidR="00E15EE3" w:rsidRPr="00E15EE3" w:rsidRDefault="00E15EE3" w:rsidP="00E15EE3">
            <w:pPr>
              <w:tabs>
                <w:tab w:val="right" w:pos="10093"/>
              </w:tabs>
              <w:spacing w:after="0" w:line="240" w:lineRule="auto"/>
              <w:ind w:left="-111" w:right="-110" w:hanging="142"/>
              <w:rPr>
                <w:rFonts w:ascii="Times New Roman" w:eastAsia="Times New Roman" w:hAnsi="Times New Roman" w:cs="Times New Roman"/>
                <w:b/>
                <w:bCs/>
                <w:sz w:val="20"/>
                <w:szCs w:val="20"/>
              </w:rPr>
            </w:pPr>
            <w:r w:rsidRPr="00E15EE3">
              <w:rPr>
                <w:rFonts w:ascii="Times New Roman" w:eastAsia="Times New Roman" w:hAnsi="Times New Roman" w:cs="Times New Roman"/>
                <w:b/>
                <w:bCs/>
                <w:sz w:val="20"/>
                <w:szCs w:val="20"/>
              </w:rPr>
              <w:t xml:space="preserve">      ,</w:t>
            </w:r>
          </w:p>
        </w:tc>
      </w:tr>
    </w:tbl>
    <w:p w14:paraId="17B0C36B"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b/>
          <w:bCs/>
          <w:sz w:val="20"/>
          <w:szCs w:val="20"/>
        </w:rPr>
      </w:pPr>
      <w:r w:rsidRPr="00E15EE3">
        <w:rPr>
          <w:rFonts w:ascii="Times New Roman" w:eastAsia="Calibri" w:hAnsi="Times New Roman" w:cs="Times New Roman"/>
          <w:b/>
          <w:bCs/>
          <w:sz w:val="20"/>
          <w:szCs w:val="20"/>
        </w:rPr>
        <w:t>согласно Федерального закона от 29.12.2012 № 273-ФЗ «Об образовании в Российской Федерации» и иных нормативных правовых актов регулирующих образовательную деятельность в Российской Федерации  осуществлено ознакомление со следующей информацией об Автономной некоммерческой организацией Научно-исследовательский институт управления народным хозяйством (далее – АНО НИИ Управления):</w:t>
      </w:r>
    </w:p>
    <w:p w14:paraId="7345A40E"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дате создания АНО НИИ Управления, об учредителях АНО НИИ Управления (Ишутине Николае Алексеевиче), о месте нахождения АНО НИИ Управления (юридический и фактический адрес) и месте осуществления образовательной деятельности, режиме, графике работы, контактных телефонах и об адресах электронной почты организации; </w:t>
      </w:r>
    </w:p>
    <w:p w14:paraId="51B3922A"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структуре, об органах управления АНО НИИ Управления (согласно Уставу АНО НИИ Управления к органам управления относится Собрание учредителей, Правление, Директор);</w:t>
      </w:r>
    </w:p>
    <w:p w14:paraId="70FB307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языках, на которых осуществляется обучение; о формах обучения; о нормативном сроке обучения;</w:t>
      </w:r>
    </w:p>
    <w:p w14:paraId="6F7E616C"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об образовательных программах и их приложениях; о наименовании образовательных программ, об объеме образовательной деятельности, финансовом обеспечении, которое осуществляется за счет бюджетов различных уровней (федеральный, субъекта, местный), по договорам об образовании за счет средств физических и (или) юридических лиц;</w:t>
      </w:r>
    </w:p>
    <w:p w14:paraId="5E6C6E88"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w:t>
      </w:r>
    </w:p>
    <w:p w14:paraId="00D952D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календарном учебном графике с приложением;</w:t>
      </w:r>
    </w:p>
    <w:p w14:paraId="2C4AD59F"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реализации образовательных программ или их частей с применением электронного обучения, дистанционных образовательных технологий;</w:t>
      </w:r>
    </w:p>
    <w:p w14:paraId="4DF2095B"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методических и об иных документах, разработанных АНО НИИ Управления для обеспечения образовательного процесса;</w:t>
      </w:r>
    </w:p>
    <w:p w14:paraId="595DD02C"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директоре АНО НИИ Управления, исполнительном директоре, заместителе директора; о педагогических работниках АНО НИИ Управления с указанием уровня образования, квалификации и опыта работы;</w:t>
      </w:r>
    </w:p>
    <w:p w14:paraId="7F07FD8D"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материально-техническом обеспечении образовательной деятельности (в том числе о наличии оборудованных учебных кабинетов и аудиторий, библиотеки, средств обучения,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096F4B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количестве вакантных мест для приема (перевода) по каждой образовательной программе, направлению подготовки (на места, финансирование которых осуществляется за счет бюджетов различных уровней (федеральный, субъекта, местный), по договорам об образовании за счет средств физических и (или) юридических лиц).</w:t>
      </w:r>
    </w:p>
    <w:p w14:paraId="6A362ED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b/>
          <w:bCs/>
          <w:sz w:val="20"/>
          <w:szCs w:val="20"/>
        </w:rPr>
      </w:pPr>
      <w:r w:rsidRPr="00E15EE3">
        <w:rPr>
          <w:rFonts w:ascii="Times New Roman" w:eastAsia="Calibri" w:hAnsi="Times New Roman" w:cs="Times New Roman"/>
          <w:b/>
          <w:bCs/>
          <w:sz w:val="20"/>
          <w:szCs w:val="20"/>
        </w:rPr>
        <w:t>Произведено ознакомление со следующими документами и/ или их копиями АНО НИИ Управления:</w:t>
      </w:r>
    </w:p>
    <w:p w14:paraId="3BB0211C"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Устав АНО НИИ Управления;</w:t>
      </w:r>
    </w:p>
    <w:p w14:paraId="6EF306B0" w14:textId="4B476F9B"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Лицензия на осуществление образовательной деятельности с приложениями</w:t>
      </w:r>
      <w:r w:rsidR="00571E90">
        <w:rPr>
          <w:rFonts w:ascii="Times New Roman" w:eastAsia="Calibri" w:hAnsi="Times New Roman" w:cs="Times New Roman"/>
          <w:sz w:val="20"/>
          <w:szCs w:val="20"/>
        </w:rPr>
        <w:t xml:space="preserve"> (сведения о дате предоставления и регистрационном номере лицензии на осуществление образовательной деятельности)</w:t>
      </w:r>
      <w:r w:rsidRPr="00E15EE3">
        <w:rPr>
          <w:rFonts w:ascii="Times New Roman" w:eastAsia="Calibri" w:hAnsi="Times New Roman" w:cs="Times New Roman"/>
          <w:sz w:val="20"/>
          <w:szCs w:val="20"/>
        </w:rPr>
        <w:t>;</w:t>
      </w:r>
    </w:p>
    <w:p w14:paraId="7C546DC4"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Свидетельство о государственной регистрации юридического лица;</w:t>
      </w:r>
    </w:p>
    <w:p w14:paraId="4E0404B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Свидетельство о постановке на учет российской организации в налоговом органе по месту ее нахождения;</w:t>
      </w:r>
    </w:p>
    <w:p w14:paraId="0B34EA52"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Свидетельство о регистрации некоммерческой организации;</w:t>
      </w:r>
    </w:p>
    <w:p w14:paraId="080E147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Коды статистики; выписка из ЕГРЮЛ;</w:t>
      </w:r>
    </w:p>
    <w:p w14:paraId="1F3420C7"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Доверенность на Ишутина В.Н., доверенность на Долгих А.Н.;</w:t>
      </w:r>
    </w:p>
    <w:p w14:paraId="2DDA3C53"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Положение о структурном образовательном подразделении - Институт государственных закупок Автономной некоммерческой организации Научно-исследовательский институт управления народным хозяйством;</w:t>
      </w:r>
    </w:p>
    <w:p w14:paraId="28490150"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Политика обработки персональных данных;</w:t>
      </w:r>
    </w:p>
    <w:p w14:paraId="13C426A4"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Образовательные программы;</w:t>
      </w:r>
    </w:p>
    <w:p w14:paraId="670B2D7A"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Уведомление о внесении в реестр аккредитованных организаций, оказывающих услуги в области охраны труда;</w:t>
      </w:r>
    </w:p>
    <w:p w14:paraId="32DCA19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порядок и основания перевода обучающихся, порядок оформления возникновения, приостановления и прекращения отношений между организацией, осуществляющей образовательную деятельность и обучающимися, правила внутреннего распорядка обучающихся, положение об итоговой аттестации обучающихся;</w:t>
      </w:r>
    </w:p>
    <w:p w14:paraId="5530433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Отчет о самообследовании;</w:t>
      </w:r>
    </w:p>
    <w:p w14:paraId="378FB6FA"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Положение о порядке оказания платных образовательных услуг, в том числе шаблонов договоров об оказании платных образовательных услуг, документа об утверждении стоимости обучения по каждой образовательной программе;</w:t>
      </w:r>
    </w:p>
    <w:p w14:paraId="1F6B636C"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Инструкцией по охране труда и технике безопасности обучающихся; инструкцией по технике безопасности при работе с персональным компьютером;</w:t>
      </w:r>
    </w:p>
    <w:p w14:paraId="75D1EE76"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Иной информации об организации учебного процесса и регламентирующей деятельность АНО НИИ Управления.</w:t>
      </w:r>
    </w:p>
    <w:p w14:paraId="144E6E90" w14:textId="01F42144"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ab/>
      </w:r>
      <w:r w:rsidRPr="00E15EE3">
        <w:rPr>
          <w:rFonts w:ascii="Times New Roman" w:eastAsia="Calibri" w:hAnsi="Times New Roman" w:cs="Times New Roman"/>
          <w:sz w:val="20"/>
          <w:szCs w:val="20"/>
        </w:rPr>
        <w:tab/>
        <w:t xml:space="preserve">Вышеуказанная информация и документы размещены на сайте АНО НИИ Управления </w:t>
      </w:r>
      <w:proofErr w:type="spellStart"/>
      <w:r w:rsidRPr="00E15EE3">
        <w:rPr>
          <w:rFonts w:ascii="Times New Roman" w:eastAsia="Calibri" w:hAnsi="Times New Roman" w:cs="Times New Roman"/>
          <w:sz w:val="20"/>
          <w:szCs w:val="20"/>
        </w:rPr>
        <w:t>http</w:t>
      </w:r>
      <w:proofErr w:type="spellEnd"/>
      <w:r w:rsidRPr="00E15EE3">
        <w:rPr>
          <w:rFonts w:ascii="Times New Roman" w:eastAsia="Calibri" w:hAnsi="Times New Roman" w:cs="Times New Roman"/>
          <w:sz w:val="20"/>
          <w:szCs w:val="20"/>
          <w:lang w:val="en-US"/>
        </w:rPr>
        <w:t>s</w:t>
      </w:r>
      <w:r w:rsidRPr="00E15EE3">
        <w:rPr>
          <w:rFonts w:ascii="Times New Roman" w:eastAsia="Calibri" w:hAnsi="Times New Roman" w:cs="Times New Roman"/>
          <w:sz w:val="20"/>
          <w:szCs w:val="20"/>
        </w:rPr>
        <w:t>://nii-rf.ru в сети интернет, на официальных стендах в помещении по адресу: г. Тюмень, ул. Республики, д.204, корп.1, в кабинете по адресу: г. Тюмень, ул. Республики, д.204, корп.1, оф.403, 406. Информация обновляется в течение 10 рабочих дней со дня создания, получения или внесения соответствующих изменений.</w:t>
      </w:r>
    </w:p>
    <w:p w14:paraId="1FF45432"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p>
    <w:tbl>
      <w:tblPr>
        <w:tblW w:w="5000" w:type="pct"/>
        <w:tblLook w:val="04A0" w:firstRow="1" w:lastRow="0" w:firstColumn="1" w:lastColumn="0" w:noHBand="0" w:noVBand="1"/>
      </w:tblPr>
      <w:tblGrid>
        <w:gridCol w:w="1951"/>
        <w:gridCol w:w="1559"/>
        <w:gridCol w:w="452"/>
        <w:gridCol w:w="980"/>
        <w:gridCol w:w="1680"/>
        <w:gridCol w:w="283"/>
        <w:gridCol w:w="3233"/>
        <w:gridCol w:w="283"/>
      </w:tblGrid>
      <w:tr w:rsidR="00E15EE3" w:rsidRPr="00E15EE3" w14:paraId="2D605587" w14:textId="77777777" w:rsidTr="00E15EE3">
        <w:trPr>
          <w:trHeight w:val="195"/>
        </w:trPr>
        <w:tc>
          <w:tcPr>
            <w:tcW w:w="936" w:type="pct"/>
            <w:vAlign w:val="bottom"/>
            <w:hideMark/>
          </w:tcPr>
          <w:p w14:paraId="162ADFC9"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r w:rsidRPr="00E15EE3">
              <w:rPr>
                <w:rFonts w:ascii="Times New Roman" w:eastAsia="Calibri" w:hAnsi="Times New Roman" w:cs="Times New Roman"/>
                <w:sz w:val="20"/>
                <w:szCs w:val="24"/>
              </w:rPr>
              <w:t>Дата ознакомления</w:t>
            </w:r>
          </w:p>
        </w:tc>
        <w:tc>
          <w:tcPr>
            <w:tcW w:w="748" w:type="pct"/>
            <w:tcBorders>
              <w:top w:val="nil"/>
              <w:left w:val="nil"/>
              <w:bottom w:val="single" w:sz="4" w:space="0" w:color="auto"/>
              <w:right w:val="nil"/>
            </w:tcBorders>
            <w:vAlign w:val="bottom"/>
          </w:tcPr>
          <w:p w14:paraId="05D7ED2D"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p>
        </w:tc>
        <w:tc>
          <w:tcPr>
            <w:tcW w:w="217" w:type="pct"/>
            <w:vAlign w:val="bottom"/>
          </w:tcPr>
          <w:p w14:paraId="47B291F1"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p>
        </w:tc>
        <w:tc>
          <w:tcPr>
            <w:tcW w:w="470" w:type="pct"/>
            <w:vAlign w:val="bottom"/>
            <w:hideMark/>
          </w:tcPr>
          <w:p w14:paraId="2895A60A"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r w:rsidRPr="00E15EE3">
              <w:rPr>
                <w:rFonts w:ascii="Times New Roman" w:eastAsia="Calibri" w:hAnsi="Times New Roman" w:cs="Times New Roman"/>
                <w:sz w:val="20"/>
                <w:szCs w:val="24"/>
              </w:rPr>
              <w:t>Подпись</w:t>
            </w:r>
          </w:p>
        </w:tc>
        <w:tc>
          <w:tcPr>
            <w:tcW w:w="806" w:type="pct"/>
            <w:tcBorders>
              <w:top w:val="nil"/>
              <w:left w:val="nil"/>
              <w:bottom w:val="single" w:sz="4" w:space="0" w:color="auto"/>
              <w:right w:val="nil"/>
            </w:tcBorders>
            <w:vAlign w:val="bottom"/>
          </w:tcPr>
          <w:p w14:paraId="100F9F28"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p>
        </w:tc>
        <w:tc>
          <w:tcPr>
            <w:tcW w:w="136" w:type="pct"/>
            <w:vAlign w:val="bottom"/>
            <w:hideMark/>
          </w:tcPr>
          <w:p w14:paraId="42598CFC"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r w:rsidRPr="00E15EE3">
              <w:rPr>
                <w:rFonts w:ascii="Times New Roman" w:eastAsia="Calibri" w:hAnsi="Times New Roman" w:cs="Times New Roman"/>
                <w:sz w:val="20"/>
                <w:szCs w:val="24"/>
              </w:rPr>
              <w:t>(</w:t>
            </w:r>
          </w:p>
        </w:tc>
        <w:tc>
          <w:tcPr>
            <w:tcW w:w="1551" w:type="pct"/>
            <w:tcBorders>
              <w:top w:val="nil"/>
              <w:left w:val="nil"/>
              <w:bottom w:val="single" w:sz="4" w:space="0" w:color="auto"/>
              <w:right w:val="nil"/>
            </w:tcBorders>
            <w:vAlign w:val="bottom"/>
          </w:tcPr>
          <w:p w14:paraId="00827605"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p>
        </w:tc>
        <w:tc>
          <w:tcPr>
            <w:tcW w:w="136" w:type="pct"/>
            <w:vAlign w:val="bottom"/>
            <w:hideMark/>
          </w:tcPr>
          <w:p w14:paraId="27F64275"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r w:rsidRPr="00E15EE3">
              <w:rPr>
                <w:rFonts w:ascii="Times New Roman" w:eastAsia="Calibri" w:hAnsi="Times New Roman" w:cs="Times New Roman"/>
                <w:sz w:val="20"/>
                <w:szCs w:val="24"/>
              </w:rPr>
              <w:t>)</w:t>
            </w:r>
          </w:p>
        </w:tc>
      </w:tr>
    </w:tbl>
    <w:p w14:paraId="20C8032B" w14:textId="3A0B83C5" w:rsidR="00276314" w:rsidRPr="00141B65" w:rsidRDefault="00E15EE3" w:rsidP="00E15EE3">
      <w:pPr>
        <w:tabs>
          <w:tab w:val="left" w:pos="284"/>
          <w:tab w:val="left" w:pos="709"/>
        </w:tabs>
        <w:spacing w:after="0" w:line="240" w:lineRule="auto"/>
        <w:jc w:val="both"/>
      </w:pPr>
      <w:r w:rsidRPr="00E15EE3">
        <w:rPr>
          <w:rFonts w:ascii="Times New Roman" w:eastAsia="Calibri" w:hAnsi="Times New Roman" w:cs="Times New Roman"/>
          <w:sz w:val="20"/>
          <w:szCs w:val="20"/>
        </w:rPr>
        <w:t xml:space="preserve">                                                                                                                                                                     ФИО    </w:t>
      </w:r>
    </w:p>
    <w:sectPr w:rsidR="00276314" w:rsidRPr="00141B65" w:rsidSect="00571E90">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47B0E"/>
    <w:multiLevelType w:val="hybridMultilevel"/>
    <w:tmpl w:val="AAD2D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08B"/>
    <w:rsid w:val="000145F8"/>
    <w:rsid w:val="000B202D"/>
    <w:rsid w:val="000F309C"/>
    <w:rsid w:val="0013408B"/>
    <w:rsid w:val="00141B65"/>
    <w:rsid w:val="0015547F"/>
    <w:rsid w:val="0015717C"/>
    <w:rsid w:val="00172CEF"/>
    <w:rsid w:val="001A6D3D"/>
    <w:rsid w:val="001E225D"/>
    <w:rsid w:val="001E7DD7"/>
    <w:rsid w:val="00215701"/>
    <w:rsid w:val="002709CC"/>
    <w:rsid w:val="00276314"/>
    <w:rsid w:val="002862E9"/>
    <w:rsid w:val="00390520"/>
    <w:rsid w:val="003A6701"/>
    <w:rsid w:val="003C3F1B"/>
    <w:rsid w:val="004138FC"/>
    <w:rsid w:val="00482CF1"/>
    <w:rsid w:val="0049654F"/>
    <w:rsid w:val="004B0C51"/>
    <w:rsid w:val="00516EB2"/>
    <w:rsid w:val="00570FBB"/>
    <w:rsid w:val="00571E90"/>
    <w:rsid w:val="00695D4C"/>
    <w:rsid w:val="006D473B"/>
    <w:rsid w:val="00757CF9"/>
    <w:rsid w:val="008A3001"/>
    <w:rsid w:val="008C5C76"/>
    <w:rsid w:val="009F49D9"/>
    <w:rsid w:val="00A76AB0"/>
    <w:rsid w:val="00AA6253"/>
    <w:rsid w:val="00AD6950"/>
    <w:rsid w:val="00B274DC"/>
    <w:rsid w:val="00B47061"/>
    <w:rsid w:val="00C36722"/>
    <w:rsid w:val="00D00C08"/>
    <w:rsid w:val="00D01407"/>
    <w:rsid w:val="00D37E7F"/>
    <w:rsid w:val="00D871D8"/>
    <w:rsid w:val="00D97D7A"/>
    <w:rsid w:val="00E15EE3"/>
    <w:rsid w:val="00E931E9"/>
    <w:rsid w:val="00EA4C90"/>
    <w:rsid w:val="00F042AB"/>
    <w:rsid w:val="00F142C9"/>
    <w:rsid w:val="00F57A5B"/>
    <w:rsid w:val="00F94248"/>
    <w:rsid w:val="00FC1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6D6B"/>
  <w15:docId w15:val="{2E240996-DB47-4F3A-A950-57B29A3E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08B"/>
    <w:pPr>
      <w:ind w:left="720"/>
      <w:contextualSpacing/>
    </w:pPr>
  </w:style>
  <w:style w:type="character" w:styleId="a4">
    <w:name w:val="Hyperlink"/>
    <w:basedOn w:val="a0"/>
    <w:uiPriority w:val="99"/>
    <w:unhideWhenUsed/>
    <w:rsid w:val="00276314"/>
    <w:rPr>
      <w:color w:val="0563C1" w:themeColor="hyperlink"/>
      <w:u w:val="single"/>
    </w:rPr>
  </w:style>
  <w:style w:type="character" w:customStyle="1" w:styleId="1">
    <w:name w:val="Неразрешенное упоминание1"/>
    <w:basedOn w:val="a0"/>
    <w:uiPriority w:val="99"/>
    <w:semiHidden/>
    <w:unhideWhenUsed/>
    <w:rsid w:val="00276314"/>
    <w:rPr>
      <w:color w:val="808080"/>
      <w:shd w:val="clear" w:color="auto" w:fill="E6E6E6"/>
    </w:rPr>
  </w:style>
  <w:style w:type="character" w:customStyle="1" w:styleId="2">
    <w:name w:val="Неразрешенное упоминание2"/>
    <w:basedOn w:val="a0"/>
    <w:uiPriority w:val="99"/>
    <w:semiHidden/>
    <w:unhideWhenUsed/>
    <w:rsid w:val="00D00C08"/>
    <w:rPr>
      <w:color w:val="808080"/>
      <w:shd w:val="clear" w:color="auto" w:fill="E6E6E6"/>
    </w:rPr>
  </w:style>
  <w:style w:type="paragraph" w:styleId="a5">
    <w:name w:val="Balloon Text"/>
    <w:basedOn w:val="a"/>
    <w:link w:val="a6"/>
    <w:uiPriority w:val="99"/>
    <w:semiHidden/>
    <w:unhideWhenUsed/>
    <w:rsid w:val="001E7D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7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 Ишутин</cp:lastModifiedBy>
  <cp:revision>19</cp:revision>
  <cp:lastPrinted>2020-03-12T10:22:00Z</cp:lastPrinted>
  <dcterms:created xsi:type="dcterms:W3CDTF">2020-01-10T07:10:00Z</dcterms:created>
  <dcterms:modified xsi:type="dcterms:W3CDTF">2021-03-17T11:16:00Z</dcterms:modified>
</cp:coreProperties>
</file>